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D02C4" w14:textId="225C4BF4" w:rsidR="00562400" w:rsidRPr="00562400" w:rsidRDefault="00562400" w:rsidP="00562400">
      <w:pPr>
        <w:tabs>
          <w:tab w:val="center" w:pos="4536"/>
          <w:tab w:val="right" w:pos="8280"/>
          <w:tab w:val="right" w:pos="9781"/>
        </w:tabs>
        <w:ind w:right="-58"/>
        <w:rPr>
          <w:rFonts w:ascii="Arial" w:hAnsi="Arial" w:cs="Arial"/>
          <w:b/>
          <w:bCs/>
          <w:sz w:val="28"/>
        </w:rPr>
      </w:pPr>
      <w:r w:rsidRPr="00562400">
        <w:rPr>
          <w:rFonts w:ascii="Arial" w:hAnsi="Arial" w:cs="Arial"/>
          <w:b/>
          <w:bCs/>
          <w:sz w:val="28"/>
        </w:rPr>
        <w:t>3GPP TSG RAN WG1 Meeting #</w:t>
      </w:r>
      <w:r w:rsidRPr="00562400">
        <w:rPr>
          <w:rFonts w:ascii="Arial" w:eastAsia="MS Mincho" w:hAnsi="Arial" w:cs="Arial"/>
          <w:b/>
          <w:bCs/>
          <w:sz w:val="28"/>
          <w:lang w:eastAsia="ja-JP"/>
        </w:rPr>
        <w:t>90</w:t>
      </w:r>
      <w:r w:rsidRPr="00562400">
        <w:rPr>
          <w:rFonts w:ascii="Arial" w:hAnsi="Arial" w:cs="Arial"/>
          <w:b/>
          <w:bCs/>
          <w:sz w:val="28"/>
        </w:rPr>
        <w:t xml:space="preserve">               </w:t>
      </w:r>
      <w:r w:rsidRPr="00562400">
        <w:rPr>
          <w:rFonts w:ascii="Arial" w:eastAsia="MS Mincho" w:hAnsi="Arial" w:cs="Arial"/>
          <w:b/>
          <w:bCs/>
          <w:sz w:val="28"/>
          <w:lang w:eastAsia="ja-JP"/>
        </w:rPr>
        <w:t xml:space="preserve">                            </w:t>
      </w:r>
      <w:r w:rsidR="00E50904" w:rsidRPr="00E50904">
        <w:rPr>
          <w:rFonts w:ascii="Arial" w:hAnsi="Arial" w:cs="Arial"/>
          <w:b/>
          <w:bCs/>
          <w:sz w:val="28"/>
        </w:rPr>
        <w:t>R1-1712758</w:t>
      </w:r>
    </w:p>
    <w:p w14:paraId="2B20131D" w14:textId="77777777" w:rsidR="00562400" w:rsidRPr="00562400" w:rsidRDefault="00562400" w:rsidP="00562400">
      <w:pPr>
        <w:tabs>
          <w:tab w:val="center" w:pos="4536"/>
          <w:tab w:val="right" w:pos="9072"/>
        </w:tabs>
        <w:rPr>
          <w:rFonts w:ascii="Arial" w:eastAsia="MS Mincho" w:hAnsi="Arial" w:cs="Arial"/>
          <w:b/>
          <w:bCs/>
          <w:sz w:val="28"/>
          <w:lang w:eastAsia="ja-JP"/>
        </w:rPr>
      </w:pPr>
      <w:r w:rsidRPr="00562400">
        <w:rPr>
          <w:rFonts w:ascii="Arial" w:eastAsia="MS Mincho" w:hAnsi="Arial" w:cs="Arial"/>
          <w:b/>
          <w:bCs/>
          <w:sz w:val="28"/>
          <w:lang w:eastAsia="ja-JP"/>
        </w:rPr>
        <w:t>Prague</w:t>
      </w:r>
      <w:r w:rsidRPr="00562400">
        <w:rPr>
          <w:rFonts w:ascii="Arial" w:hAnsi="Arial" w:cs="Arial"/>
          <w:b/>
          <w:bCs/>
          <w:sz w:val="28"/>
        </w:rPr>
        <w:t xml:space="preserve">, </w:t>
      </w:r>
      <w:proofErr w:type="spellStart"/>
      <w:r w:rsidRPr="00562400">
        <w:rPr>
          <w:rFonts w:ascii="Arial" w:eastAsia="MS Mincho" w:hAnsi="Arial" w:cs="Arial"/>
          <w:b/>
          <w:bCs/>
          <w:sz w:val="28"/>
          <w:lang w:eastAsia="ja-JP"/>
        </w:rPr>
        <w:t>Czechia</w:t>
      </w:r>
      <w:proofErr w:type="spellEnd"/>
      <w:r w:rsidRPr="00562400">
        <w:rPr>
          <w:rFonts w:ascii="Arial" w:eastAsia="MS Mincho" w:hAnsi="Arial" w:cs="Arial"/>
          <w:b/>
          <w:bCs/>
          <w:sz w:val="28"/>
          <w:lang w:eastAsia="ja-JP"/>
        </w:rPr>
        <w:t>,</w:t>
      </w:r>
      <w:r w:rsidRPr="00562400">
        <w:rPr>
          <w:rFonts w:ascii="Arial" w:hAnsi="Arial" w:cs="Arial"/>
          <w:b/>
          <w:bCs/>
          <w:sz w:val="28"/>
        </w:rPr>
        <w:t xml:space="preserve"> </w:t>
      </w:r>
      <w:r w:rsidRPr="00562400">
        <w:rPr>
          <w:rFonts w:ascii="Arial" w:eastAsia="MS Mincho" w:hAnsi="Arial" w:cs="Arial"/>
          <w:b/>
          <w:bCs/>
          <w:sz w:val="28"/>
          <w:lang w:eastAsia="ja-JP"/>
        </w:rPr>
        <w:t xml:space="preserve">21th </w:t>
      </w:r>
      <w:r w:rsidRPr="00562400">
        <w:rPr>
          <w:rFonts w:ascii="Arial" w:hAnsi="Arial" w:cs="Arial"/>
          <w:b/>
          <w:bCs/>
          <w:sz w:val="28"/>
        </w:rPr>
        <w:t xml:space="preserve">– </w:t>
      </w:r>
      <w:r w:rsidRPr="00562400">
        <w:rPr>
          <w:rFonts w:ascii="Arial" w:eastAsia="MS Mincho" w:hAnsi="Arial" w:cs="Arial"/>
          <w:b/>
          <w:bCs/>
          <w:sz w:val="28"/>
          <w:lang w:eastAsia="ja-JP"/>
        </w:rPr>
        <w:t>25th</w:t>
      </w:r>
      <w:r w:rsidRPr="00562400">
        <w:rPr>
          <w:rFonts w:ascii="Arial" w:hAnsi="Arial" w:cs="Arial"/>
          <w:b/>
          <w:bCs/>
          <w:sz w:val="28"/>
        </w:rPr>
        <w:t xml:space="preserve"> </w:t>
      </w:r>
      <w:r w:rsidRPr="00562400">
        <w:rPr>
          <w:rFonts w:ascii="Arial" w:eastAsia="MS Mincho" w:hAnsi="Arial" w:cs="Arial"/>
          <w:b/>
          <w:bCs/>
          <w:sz w:val="28"/>
          <w:lang w:eastAsia="ja-JP"/>
        </w:rPr>
        <w:t>August</w:t>
      </w:r>
      <w:r w:rsidRPr="00562400">
        <w:rPr>
          <w:rFonts w:ascii="Arial" w:hAnsi="Arial" w:cs="Arial"/>
          <w:b/>
          <w:bCs/>
          <w:sz w:val="28"/>
        </w:rPr>
        <w:t xml:space="preserve"> 201</w:t>
      </w:r>
      <w:r w:rsidRPr="00562400">
        <w:rPr>
          <w:rFonts w:ascii="Arial" w:eastAsia="MS Mincho" w:hAnsi="Arial" w:cs="Arial"/>
          <w:b/>
          <w:bCs/>
          <w:sz w:val="28"/>
          <w:lang w:eastAsia="ja-JP"/>
        </w:rPr>
        <w:t>7</w:t>
      </w:r>
    </w:p>
    <w:p w14:paraId="2DD42AB3" w14:textId="77777777" w:rsidR="005223FF" w:rsidRPr="00562400" w:rsidRDefault="005223FF" w:rsidP="005223FF">
      <w:pPr>
        <w:wordWrap/>
        <w:overflowPunct w:val="0"/>
        <w:adjustRightInd w:val="0"/>
        <w:textAlignment w:val="baseline"/>
        <w:rPr>
          <w:rFonts w:ascii="Times New Roman" w:eastAsia="Calibri"/>
          <w:b/>
          <w:i/>
          <w:kern w:val="0"/>
          <w:sz w:val="18"/>
          <w:szCs w:val="20"/>
          <w:lang w:eastAsia="en-US"/>
        </w:rPr>
      </w:pPr>
    </w:p>
    <w:p w14:paraId="3F76E0DB" w14:textId="18B9CD2E" w:rsidR="005223FF" w:rsidRPr="00562400"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Agenda item:</w:t>
      </w:r>
      <w:r w:rsidRPr="00562400">
        <w:rPr>
          <w:rFonts w:ascii="Arial" w:eastAsia="Calibri" w:hAnsi="Arial" w:cs="Arial"/>
          <w:kern w:val="0"/>
          <w:sz w:val="24"/>
          <w:szCs w:val="20"/>
          <w:lang w:eastAsia="en-US"/>
        </w:rPr>
        <w:tab/>
      </w:r>
      <w:bookmarkStart w:id="0" w:name="Source"/>
      <w:bookmarkEnd w:id="0"/>
      <w:r w:rsidR="00562400" w:rsidRPr="00562400">
        <w:rPr>
          <w:rFonts w:ascii="Arial" w:eastAsia="Calibri" w:hAnsi="Arial" w:cs="Arial"/>
          <w:kern w:val="0"/>
          <w:sz w:val="24"/>
          <w:szCs w:val="20"/>
          <w:lang w:eastAsia="en-US"/>
        </w:rPr>
        <w:t>5.1.</w:t>
      </w:r>
      <w:r w:rsidR="00E50904">
        <w:rPr>
          <w:rFonts w:ascii="Arial" w:eastAsia="Calibri" w:hAnsi="Arial" w:cs="Arial"/>
          <w:kern w:val="0"/>
          <w:sz w:val="24"/>
          <w:szCs w:val="20"/>
          <w:lang w:eastAsia="en-US"/>
        </w:rPr>
        <w:t>1</w:t>
      </w:r>
      <w:bookmarkStart w:id="1" w:name="_GoBack"/>
      <w:bookmarkEnd w:id="1"/>
    </w:p>
    <w:p w14:paraId="4E9D0481" w14:textId="77777777" w:rsidR="005223FF" w:rsidRPr="00562400"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 xml:space="preserve">Source: </w:t>
      </w:r>
      <w:r w:rsidRPr="00562400">
        <w:rPr>
          <w:rFonts w:ascii="Arial" w:eastAsia="Calibri" w:hAnsi="Arial" w:cs="Arial"/>
          <w:b/>
          <w:kern w:val="0"/>
          <w:sz w:val="24"/>
          <w:szCs w:val="20"/>
          <w:lang w:eastAsia="en-US"/>
        </w:rPr>
        <w:tab/>
      </w:r>
      <w:r w:rsidRPr="00562400">
        <w:rPr>
          <w:rFonts w:ascii="Arial" w:eastAsia="Calibri" w:hAnsi="Arial" w:cs="Arial"/>
          <w:kern w:val="0"/>
          <w:sz w:val="24"/>
          <w:szCs w:val="20"/>
          <w:lang w:eastAsia="en-US"/>
        </w:rPr>
        <w:t>Qualcomm Incorporated</w:t>
      </w:r>
    </w:p>
    <w:p w14:paraId="78C2A59F" w14:textId="02508E85" w:rsidR="005223FF" w:rsidRPr="00562400" w:rsidRDefault="005223FF" w:rsidP="005223FF">
      <w:pPr>
        <w:widowControl/>
        <w:wordWrap/>
        <w:overflowPunct w:val="0"/>
        <w:adjustRightInd w:val="0"/>
        <w:spacing w:after="180"/>
        <w:ind w:left="1988" w:hanging="1988"/>
        <w:jc w:val="left"/>
        <w:textAlignment w:val="baseline"/>
        <w:rPr>
          <w:rFonts w:ascii="Arial" w:eastAsia="Calibri" w:hAnsi="Arial" w:cs="Arial"/>
          <w:kern w:val="0"/>
          <w:sz w:val="28"/>
          <w:lang w:eastAsia="en-US"/>
        </w:rPr>
      </w:pPr>
      <w:r w:rsidRPr="00562400">
        <w:rPr>
          <w:rFonts w:ascii="Arial" w:eastAsia="Calibri" w:hAnsi="Arial" w:cs="Arial"/>
          <w:b/>
          <w:kern w:val="0"/>
          <w:sz w:val="24"/>
          <w:szCs w:val="20"/>
          <w:lang w:eastAsia="en-US"/>
        </w:rPr>
        <w:t>Title:</w:t>
      </w:r>
      <w:r w:rsidRPr="00562400">
        <w:rPr>
          <w:rFonts w:ascii="Arial" w:eastAsia="Calibri" w:hAnsi="Arial" w:cs="Arial"/>
          <w:kern w:val="0"/>
          <w:sz w:val="24"/>
          <w:szCs w:val="20"/>
          <w:lang w:eastAsia="en-US"/>
        </w:rPr>
        <w:t xml:space="preserve"> </w:t>
      </w:r>
      <w:r w:rsidRPr="00562400">
        <w:rPr>
          <w:rFonts w:ascii="Arial" w:eastAsia="Calibri" w:hAnsi="Arial" w:cs="Arial"/>
          <w:kern w:val="0"/>
          <w:sz w:val="22"/>
          <w:szCs w:val="20"/>
          <w:lang w:eastAsia="en-US"/>
        </w:rPr>
        <w:tab/>
      </w:r>
      <w:r w:rsidR="00562400" w:rsidRPr="00562400">
        <w:rPr>
          <w:rFonts w:ascii="Arial" w:eastAsia="Calibri" w:hAnsi="Arial" w:cs="Arial"/>
          <w:kern w:val="0"/>
          <w:sz w:val="24"/>
          <w:szCs w:val="20"/>
          <w:lang w:eastAsia="en-US"/>
        </w:rPr>
        <w:t>Discussion on NPDCCH CSS monitoring after contention resolution</w:t>
      </w:r>
    </w:p>
    <w:p w14:paraId="5E58C004" w14:textId="77777777" w:rsidR="005223FF" w:rsidRPr="00562400" w:rsidRDefault="005223FF" w:rsidP="005223FF">
      <w:pPr>
        <w:widowControl/>
        <w:wordWrap/>
        <w:overflowPunct w:val="0"/>
        <w:adjustRightInd w:val="0"/>
        <w:spacing w:after="180"/>
        <w:ind w:left="1988" w:hanging="1988"/>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Document for:</w:t>
      </w:r>
      <w:r w:rsidRPr="00562400">
        <w:rPr>
          <w:rFonts w:ascii="Arial" w:eastAsia="Calibri" w:hAnsi="Arial" w:cs="Arial"/>
          <w:kern w:val="0"/>
          <w:sz w:val="24"/>
          <w:szCs w:val="20"/>
          <w:lang w:eastAsia="en-US"/>
        </w:rPr>
        <w:tab/>
      </w:r>
      <w:bookmarkStart w:id="2" w:name="DocumentFor"/>
      <w:bookmarkEnd w:id="2"/>
      <w:r w:rsidRPr="00562400">
        <w:rPr>
          <w:rFonts w:ascii="Arial" w:eastAsia="Calibri" w:hAnsi="Arial" w:cs="Arial"/>
          <w:kern w:val="0"/>
          <w:sz w:val="24"/>
          <w:szCs w:val="20"/>
          <w:lang w:eastAsia="en-US"/>
        </w:rPr>
        <w:t>Discussion/Decision</w:t>
      </w:r>
    </w:p>
    <w:p w14:paraId="26F4A535" w14:textId="77777777" w:rsidR="005223FF" w:rsidRPr="00562400" w:rsidRDefault="005223FF" w:rsidP="005223FF"/>
    <w:p w14:paraId="11D71509" w14:textId="43E58579" w:rsidR="005223FF" w:rsidRPr="00562400" w:rsidRDefault="005223FF" w:rsidP="005223FF">
      <w:pPr>
        <w:pStyle w:val="Heading1"/>
        <w:rPr>
          <w:lang w:val="en-US"/>
        </w:rPr>
      </w:pPr>
      <w:r w:rsidRPr="00562400">
        <w:rPr>
          <w:lang w:val="en-US"/>
        </w:rPr>
        <w:t>Introduction</w:t>
      </w:r>
    </w:p>
    <w:p w14:paraId="2E7B9142" w14:textId="3F52BB67" w:rsidR="004245FA" w:rsidRPr="00562400" w:rsidRDefault="00562400" w:rsidP="00562400">
      <w:pPr>
        <w:rPr>
          <w:rFonts w:ascii="Times New Roman"/>
          <w:sz w:val="22"/>
          <w:szCs w:val="22"/>
        </w:rPr>
      </w:pPr>
      <w:r w:rsidRPr="00562400">
        <w:rPr>
          <w:rFonts w:ascii="Times New Roman"/>
          <w:sz w:val="22"/>
          <w:szCs w:val="22"/>
        </w:rPr>
        <w:t>In NB-</w:t>
      </w:r>
      <w:proofErr w:type="spellStart"/>
      <w:r w:rsidRPr="00562400">
        <w:rPr>
          <w:rFonts w:ascii="Times New Roman"/>
          <w:sz w:val="22"/>
          <w:szCs w:val="22"/>
        </w:rPr>
        <w:t>IoT</w:t>
      </w:r>
      <w:proofErr w:type="spellEnd"/>
      <w:r w:rsidRPr="00562400">
        <w:rPr>
          <w:rFonts w:ascii="Times New Roman"/>
          <w:sz w:val="22"/>
          <w:szCs w:val="22"/>
        </w:rPr>
        <w:t>, the UE monitors the Type2-NPDCCH common search space during initial access. From the current specification, it is not clear whether the UE needs to keep monitoring the Type2 CSS until reception of RRC Connection Setup (which includes configuration of USS), or just until reception of contention resolution (which implicitly implies that contention resolution and RRC Connection setup have to be sent over the same PDSCH).</w:t>
      </w:r>
    </w:p>
    <w:p w14:paraId="63EC235A" w14:textId="04465D0B" w:rsidR="00562400" w:rsidRPr="00562400" w:rsidRDefault="00562400" w:rsidP="00562400">
      <w:pPr>
        <w:rPr>
          <w:rFonts w:ascii="Times New Roman"/>
          <w:b/>
          <w:snapToGrid w:val="0"/>
          <w:kern w:val="0"/>
          <w:sz w:val="22"/>
          <w:szCs w:val="22"/>
          <w:u w:val="single"/>
        </w:rPr>
      </w:pPr>
    </w:p>
    <w:p w14:paraId="5BFE6969" w14:textId="12A68299" w:rsidR="00562400" w:rsidRPr="00562400" w:rsidRDefault="00562400" w:rsidP="00562400">
      <w:pPr>
        <w:pStyle w:val="Heading1"/>
        <w:rPr>
          <w:lang w:val="en-US"/>
        </w:rPr>
      </w:pPr>
      <w:r w:rsidRPr="00562400">
        <w:rPr>
          <w:lang w:val="en-US"/>
        </w:rPr>
        <w:t>Background and description of problem</w:t>
      </w:r>
    </w:p>
    <w:p w14:paraId="1A6C26F8" w14:textId="3D57D9D8" w:rsidR="00562400" w:rsidRPr="00562400" w:rsidRDefault="00562400" w:rsidP="00562400">
      <w:pPr>
        <w:rPr>
          <w:rFonts w:ascii="Times New Roman"/>
          <w:snapToGrid w:val="0"/>
          <w:kern w:val="0"/>
          <w:sz w:val="22"/>
          <w:szCs w:val="22"/>
        </w:rPr>
      </w:pPr>
      <w:proofErr w:type="spellStart"/>
      <w:r w:rsidRPr="00562400">
        <w:rPr>
          <w:rFonts w:ascii="Times New Roman"/>
          <w:snapToGrid w:val="0"/>
          <w:kern w:val="0"/>
          <w:sz w:val="22"/>
          <w:szCs w:val="22"/>
        </w:rPr>
        <w:t>eMTC</w:t>
      </w:r>
      <w:proofErr w:type="spellEnd"/>
      <w:r w:rsidRPr="00562400">
        <w:rPr>
          <w:rFonts w:ascii="Times New Roman"/>
          <w:snapToGrid w:val="0"/>
          <w:kern w:val="0"/>
          <w:sz w:val="22"/>
          <w:szCs w:val="22"/>
        </w:rPr>
        <w:t xml:space="preserve"> and NB-</w:t>
      </w:r>
      <w:proofErr w:type="spellStart"/>
      <w:r w:rsidRPr="00562400">
        <w:rPr>
          <w:rFonts w:ascii="Times New Roman"/>
          <w:snapToGrid w:val="0"/>
          <w:kern w:val="0"/>
          <w:sz w:val="22"/>
          <w:szCs w:val="22"/>
        </w:rPr>
        <w:t>IoT</w:t>
      </w:r>
      <w:proofErr w:type="spellEnd"/>
      <w:r w:rsidRPr="00562400">
        <w:rPr>
          <w:rFonts w:ascii="Times New Roman"/>
          <w:snapToGrid w:val="0"/>
          <w:kern w:val="0"/>
          <w:sz w:val="22"/>
          <w:szCs w:val="22"/>
        </w:rPr>
        <w:t xml:space="preserve"> follow similar principles of search space usage during initial access / after RRC reconfiguration. For </w:t>
      </w:r>
      <w:proofErr w:type="spellStart"/>
      <w:r w:rsidRPr="00562400">
        <w:rPr>
          <w:rFonts w:ascii="Times New Roman"/>
          <w:snapToGrid w:val="0"/>
          <w:kern w:val="0"/>
          <w:sz w:val="22"/>
          <w:szCs w:val="22"/>
        </w:rPr>
        <w:t>eMTC</w:t>
      </w:r>
      <w:proofErr w:type="spellEnd"/>
      <w:r w:rsidRPr="00562400">
        <w:rPr>
          <w:rFonts w:ascii="Times New Roman"/>
          <w:snapToGrid w:val="0"/>
          <w:kern w:val="0"/>
          <w:sz w:val="22"/>
          <w:szCs w:val="22"/>
        </w:rPr>
        <w:t xml:space="preserve">, the following paragraph is included in </w:t>
      </w:r>
      <w:r w:rsidR="00146987">
        <w:rPr>
          <w:rFonts w:ascii="Times New Roman"/>
          <w:snapToGrid w:val="0"/>
          <w:kern w:val="0"/>
          <w:sz w:val="22"/>
          <w:szCs w:val="22"/>
        </w:rPr>
        <w:t xml:space="preserve">TS </w:t>
      </w:r>
      <w:r w:rsidRPr="00562400">
        <w:rPr>
          <w:rFonts w:ascii="Times New Roman"/>
          <w:snapToGrid w:val="0"/>
          <w:kern w:val="0"/>
          <w:sz w:val="22"/>
          <w:szCs w:val="22"/>
        </w:rPr>
        <w:t>36.213:</w:t>
      </w:r>
    </w:p>
    <w:p w14:paraId="35CCEDAA" w14:textId="7A6F5E78" w:rsidR="00562400" w:rsidRPr="00562400" w:rsidRDefault="00562400" w:rsidP="00562400">
      <w:pPr>
        <w:ind w:left="800"/>
        <w:rPr>
          <w:rFonts w:ascii="Times New Roman"/>
          <w:i/>
          <w:snapToGrid w:val="0"/>
          <w:kern w:val="0"/>
          <w:sz w:val="22"/>
          <w:szCs w:val="22"/>
        </w:rPr>
      </w:pPr>
    </w:p>
    <w:p w14:paraId="58F2F9DB" w14:textId="77777777" w:rsidR="00562400" w:rsidRPr="00562400" w:rsidRDefault="00562400" w:rsidP="00562400">
      <w:pPr>
        <w:widowControl/>
        <w:wordWrap/>
        <w:overflowPunct w:val="0"/>
        <w:adjustRightInd w:val="0"/>
        <w:spacing w:after="180"/>
        <w:ind w:left="800"/>
        <w:jc w:val="left"/>
        <w:textAlignment w:val="baseline"/>
        <w:rPr>
          <w:rFonts w:ascii="Times New Roman" w:eastAsia="Times New Roman"/>
          <w:kern w:val="0"/>
          <w:szCs w:val="20"/>
          <w:lang w:eastAsia="en-GB"/>
        </w:rPr>
      </w:pPr>
      <w:r w:rsidRPr="00562400">
        <w:rPr>
          <w:rFonts w:ascii="Times New Roman" w:eastAsia="Times New Roman"/>
          <w:i/>
          <w:kern w:val="0"/>
          <w:szCs w:val="20"/>
          <w:lang w:eastAsia="en-GB"/>
        </w:rPr>
        <w:t>Until BL/CE UE receives higher layer configuration of MPDCCH UE-specific search space, the BL/CE UE monitors MPDCCH according to the same configuration of MPDCCH search space and Narrowband as that for MPDCCH scheduling Msg4.</w:t>
      </w:r>
    </w:p>
    <w:p w14:paraId="5DE11FFD" w14:textId="43C23A6F" w:rsidR="001612D8" w:rsidRPr="00562400" w:rsidRDefault="00146987" w:rsidP="00055462">
      <w:pPr>
        <w:rPr>
          <w:rFonts w:ascii="Times New Roman"/>
          <w:snapToGrid w:val="0"/>
          <w:kern w:val="0"/>
          <w:sz w:val="22"/>
          <w:szCs w:val="22"/>
        </w:rPr>
      </w:pPr>
      <w:r>
        <w:rPr>
          <w:rFonts w:ascii="Times New Roman"/>
          <w:snapToGrid w:val="0"/>
          <w:kern w:val="0"/>
          <w:sz w:val="22"/>
          <w:szCs w:val="22"/>
        </w:rPr>
        <w:t>This</w:t>
      </w:r>
      <w:r w:rsidRPr="00562400">
        <w:rPr>
          <w:rFonts w:ascii="Times New Roman"/>
          <w:snapToGrid w:val="0"/>
          <w:kern w:val="0"/>
          <w:sz w:val="22"/>
          <w:szCs w:val="22"/>
        </w:rPr>
        <w:t xml:space="preserve"> </w:t>
      </w:r>
      <w:r w:rsidR="00562400" w:rsidRPr="00562400">
        <w:rPr>
          <w:rFonts w:ascii="Times New Roman"/>
          <w:snapToGrid w:val="0"/>
          <w:kern w:val="0"/>
          <w:sz w:val="22"/>
          <w:szCs w:val="22"/>
        </w:rPr>
        <w:t xml:space="preserve">indicates that </w:t>
      </w:r>
      <w:proofErr w:type="spellStart"/>
      <w:r w:rsidR="00562400" w:rsidRPr="00562400">
        <w:rPr>
          <w:rFonts w:ascii="Times New Roman"/>
          <w:snapToGrid w:val="0"/>
          <w:kern w:val="0"/>
          <w:sz w:val="22"/>
          <w:szCs w:val="22"/>
        </w:rPr>
        <w:t>eMTC</w:t>
      </w:r>
      <w:proofErr w:type="spellEnd"/>
      <w:r w:rsidR="00562400" w:rsidRPr="00562400">
        <w:rPr>
          <w:rFonts w:ascii="Times New Roman"/>
          <w:snapToGrid w:val="0"/>
          <w:kern w:val="0"/>
          <w:sz w:val="22"/>
          <w:szCs w:val="22"/>
        </w:rPr>
        <w:t xml:space="preserve"> supports “early contention resolution”, i.e., transmission of contention resolution in a PDSCH</w:t>
      </w:r>
      <w:r>
        <w:rPr>
          <w:rFonts w:ascii="Times New Roman"/>
          <w:snapToGrid w:val="0"/>
          <w:kern w:val="0"/>
          <w:sz w:val="22"/>
          <w:szCs w:val="22"/>
        </w:rPr>
        <w:t xml:space="preserve"> </w:t>
      </w:r>
      <w:r w:rsidR="00A85CBC">
        <w:rPr>
          <w:rFonts w:ascii="Times New Roman"/>
          <w:snapToGrid w:val="0"/>
          <w:kern w:val="0"/>
          <w:sz w:val="22"/>
          <w:szCs w:val="22"/>
        </w:rPr>
        <w:t>(without needing to wait for NAS reply)</w:t>
      </w:r>
      <w:r w:rsidR="00562400" w:rsidRPr="00562400">
        <w:rPr>
          <w:rFonts w:ascii="Times New Roman"/>
          <w:snapToGrid w:val="0"/>
          <w:kern w:val="0"/>
          <w:sz w:val="22"/>
          <w:szCs w:val="22"/>
        </w:rPr>
        <w:t xml:space="preserve"> and RRC Connection Setup in a follow-up PDSCH. This is also in line with the behavior in legacy LTE.</w:t>
      </w:r>
    </w:p>
    <w:p w14:paraId="20588E9E" w14:textId="6D3A800B" w:rsidR="00562400" w:rsidRPr="00562400" w:rsidRDefault="00562400" w:rsidP="00055462">
      <w:pPr>
        <w:rPr>
          <w:rFonts w:ascii="Times New Roman"/>
          <w:snapToGrid w:val="0"/>
          <w:kern w:val="0"/>
          <w:sz w:val="22"/>
          <w:szCs w:val="22"/>
        </w:rPr>
      </w:pPr>
    </w:p>
    <w:p w14:paraId="784F0DD8" w14:textId="6B33E788" w:rsidR="00562400" w:rsidRDefault="00562400" w:rsidP="00055462">
      <w:pPr>
        <w:rPr>
          <w:rFonts w:ascii="Times New Roman"/>
          <w:snapToGrid w:val="0"/>
          <w:kern w:val="0"/>
          <w:sz w:val="22"/>
          <w:szCs w:val="22"/>
        </w:rPr>
      </w:pPr>
      <w:r w:rsidRPr="00562400">
        <w:rPr>
          <w:rFonts w:ascii="Times New Roman"/>
          <w:snapToGrid w:val="0"/>
          <w:kern w:val="0"/>
          <w:sz w:val="22"/>
          <w:szCs w:val="22"/>
        </w:rPr>
        <w:t>There is no clarification in this sense in NB-</w:t>
      </w:r>
      <w:proofErr w:type="spellStart"/>
      <w:r w:rsidRPr="00562400">
        <w:rPr>
          <w:rFonts w:ascii="Times New Roman"/>
          <w:snapToGrid w:val="0"/>
          <w:kern w:val="0"/>
          <w:sz w:val="22"/>
          <w:szCs w:val="22"/>
        </w:rPr>
        <w:t>IoT</w:t>
      </w:r>
      <w:proofErr w:type="spellEnd"/>
      <w:r w:rsidRPr="00562400">
        <w:rPr>
          <w:rFonts w:ascii="Times New Roman"/>
          <w:snapToGrid w:val="0"/>
          <w:kern w:val="0"/>
          <w:sz w:val="22"/>
          <w:szCs w:val="22"/>
        </w:rPr>
        <w:t>, so the UE behavior and expectation from the base station is not clear when transmitting early contention resolution. The current specification is ambiguous on which one of the following two behaviors is the correct one</w:t>
      </w:r>
      <w:r>
        <w:rPr>
          <w:rFonts w:ascii="Times New Roman"/>
          <w:snapToGrid w:val="0"/>
          <w:kern w:val="0"/>
          <w:sz w:val="22"/>
          <w:szCs w:val="22"/>
        </w:rPr>
        <w:t>:</w:t>
      </w:r>
    </w:p>
    <w:p w14:paraId="41462CFD" w14:textId="1AAB03F8" w:rsidR="00562400" w:rsidRDefault="00562400" w:rsidP="00562400">
      <w:pPr>
        <w:pStyle w:val="ListParagraph"/>
        <w:numPr>
          <w:ilvl w:val="0"/>
          <w:numId w:val="33"/>
        </w:numPr>
        <w:ind w:leftChars="0"/>
        <w:rPr>
          <w:rFonts w:ascii="Times New Roman"/>
          <w:snapToGrid w:val="0"/>
          <w:sz w:val="22"/>
          <w:szCs w:val="22"/>
        </w:rPr>
      </w:pPr>
      <w:r>
        <w:rPr>
          <w:rFonts w:ascii="Times New Roman"/>
          <w:snapToGrid w:val="0"/>
          <w:sz w:val="22"/>
          <w:szCs w:val="22"/>
        </w:rPr>
        <w:t>If the UE receives msg4 with contention resolution but no RRC Connection Setup (and the UE does not have an ongoing RRC Connection), the UE keeps monitoring the Type2-CSS for reception or RRC Connection Setup</w:t>
      </w:r>
    </w:p>
    <w:p w14:paraId="26B3421B" w14:textId="6F0BBBBD" w:rsidR="00E33E07" w:rsidRDefault="00562400" w:rsidP="00E33E07">
      <w:pPr>
        <w:pStyle w:val="ListParagraph"/>
        <w:numPr>
          <w:ilvl w:val="0"/>
          <w:numId w:val="33"/>
        </w:numPr>
        <w:ind w:leftChars="0"/>
        <w:rPr>
          <w:rFonts w:ascii="Times New Roman"/>
          <w:snapToGrid w:val="0"/>
          <w:sz w:val="22"/>
          <w:szCs w:val="22"/>
        </w:rPr>
      </w:pPr>
      <w:r>
        <w:rPr>
          <w:rFonts w:ascii="Times New Roman"/>
          <w:snapToGrid w:val="0"/>
          <w:sz w:val="22"/>
          <w:szCs w:val="22"/>
        </w:rPr>
        <w:t>The UE can assume that contention resolution always includes RRC Connection Setup (for initial access)</w:t>
      </w:r>
    </w:p>
    <w:p w14:paraId="302E4011" w14:textId="49A64296" w:rsidR="00E33E07" w:rsidRDefault="00E33E07" w:rsidP="00E33E07">
      <w:pPr>
        <w:rPr>
          <w:rFonts w:ascii="Times New Roman"/>
          <w:snapToGrid w:val="0"/>
          <w:sz w:val="22"/>
          <w:szCs w:val="22"/>
        </w:rPr>
      </w:pPr>
    </w:p>
    <w:p w14:paraId="549D3F6B" w14:textId="510A417F" w:rsidR="00801992" w:rsidRDefault="00E33E07" w:rsidP="00E33E07">
      <w:pPr>
        <w:rPr>
          <w:rFonts w:ascii="Times New Roman"/>
          <w:snapToGrid w:val="0"/>
          <w:sz w:val="22"/>
          <w:szCs w:val="22"/>
        </w:rPr>
      </w:pPr>
      <w:r>
        <w:rPr>
          <w:rFonts w:ascii="Times New Roman"/>
          <w:snapToGrid w:val="0"/>
          <w:sz w:val="22"/>
          <w:szCs w:val="22"/>
        </w:rPr>
        <w:t xml:space="preserve">The main advantage of </w:t>
      </w:r>
      <w:r>
        <w:rPr>
          <w:rFonts w:ascii="Times New Roman"/>
          <w:i/>
          <w:snapToGrid w:val="0"/>
          <w:sz w:val="22"/>
          <w:szCs w:val="22"/>
        </w:rPr>
        <w:t>early</w:t>
      </w:r>
      <w:r>
        <w:rPr>
          <w:rFonts w:ascii="Times New Roman"/>
          <w:snapToGrid w:val="0"/>
          <w:sz w:val="22"/>
          <w:szCs w:val="22"/>
        </w:rPr>
        <w:t xml:space="preserve"> contention resolution is that it allows </w:t>
      </w:r>
      <w:r w:rsidR="00801992">
        <w:rPr>
          <w:rFonts w:ascii="Times New Roman"/>
          <w:snapToGrid w:val="0"/>
          <w:sz w:val="22"/>
          <w:szCs w:val="22"/>
        </w:rPr>
        <w:t xml:space="preserve">for more time at the </w:t>
      </w:r>
      <w:proofErr w:type="spellStart"/>
      <w:r w:rsidR="00801992">
        <w:rPr>
          <w:rFonts w:ascii="Times New Roman"/>
          <w:snapToGrid w:val="0"/>
          <w:sz w:val="22"/>
          <w:szCs w:val="22"/>
        </w:rPr>
        <w:t>eNB</w:t>
      </w:r>
      <w:proofErr w:type="spellEnd"/>
      <w:r w:rsidR="00801992">
        <w:rPr>
          <w:rFonts w:ascii="Times New Roman"/>
          <w:snapToGrid w:val="0"/>
          <w:sz w:val="22"/>
          <w:szCs w:val="22"/>
        </w:rPr>
        <w:t xml:space="preserve"> to obtain the UE radio capabilities from the MME (the contention resolution timer may expire if the </w:t>
      </w:r>
      <w:proofErr w:type="spellStart"/>
      <w:r w:rsidR="00801992">
        <w:rPr>
          <w:rFonts w:ascii="Times New Roman"/>
          <w:snapToGrid w:val="0"/>
          <w:sz w:val="22"/>
          <w:szCs w:val="22"/>
        </w:rPr>
        <w:t>eNB</w:t>
      </w:r>
      <w:proofErr w:type="spellEnd"/>
      <w:r w:rsidR="00801992">
        <w:rPr>
          <w:rFonts w:ascii="Times New Roman"/>
          <w:snapToGrid w:val="0"/>
          <w:sz w:val="22"/>
          <w:szCs w:val="22"/>
        </w:rPr>
        <w:t xml:space="preserve"> needs to wait for this information to send in msg4).</w:t>
      </w:r>
      <w:r>
        <w:rPr>
          <w:rFonts w:ascii="Times New Roman"/>
          <w:snapToGrid w:val="0"/>
          <w:sz w:val="22"/>
          <w:szCs w:val="22"/>
        </w:rPr>
        <w:t xml:space="preserve"> This is captured in TS 36.300 as follows:</w:t>
      </w:r>
    </w:p>
    <w:p w14:paraId="117F8F77" w14:textId="1853C2E4" w:rsidR="00E33E07" w:rsidRDefault="00E33E07" w:rsidP="00E33E07">
      <w:pPr>
        <w:rPr>
          <w:rFonts w:ascii="Times New Roman"/>
          <w:snapToGrid w:val="0"/>
          <w:sz w:val="22"/>
          <w:szCs w:val="22"/>
        </w:rPr>
      </w:pPr>
    </w:p>
    <w:p w14:paraId="6B51DCA6" w14:textId="77777777" w:rsidR="00E33E07" w:rsidRPr="00E33E07" w:rsidRDefault="00E33E07" w:rsidP="00E33E07">
      <w:pPr>
        <w:pStyle w:val="B1"/>
        <w:ind w:left="851"/>
        <w:rPr>
          <w:i/>
        </w:rPr>
      </w:pPr>
      <w:r w:rsidRPr="00E33E07">
        <w:rPr>
          <w:i/>
        </w:rPr>
        <w:t>4)</w:t>
      </w:r>
      <w:r w:rsidRPr="00E33E07">
        <w:rPr>
          <w:i/>
        </w:rPr>
        <w:tab/>
        <w:t>Contention Resolution on DL:</w:t>
      </w:r>
    </w:p>
    <w:p w14:paraId="3E8AB0DC" w14:textId="77777777" w:rsidR="00E33E07" w:rsidRPr="005132EF" w:rsidRDefault="00E33E07" w:rsidP="00E33E07">
      <w:pPr>
        <w:pStyle w:val="B2"/>
        <w:ind w:left="1134"/>
        <w:rPr>
          <w:lang w:eastAsia="ja-JP"/>
        </w:rPr>
      </w:pPr>
      <w:r w:rsidRPr="00E33E07">
        <w:rPr>
          <w:i/>
        </w:rPr>
        <w:t>-</w:t>
      </w:r>
      <w:r w:rsidRPr="00E33E07">
        <w:rPr>
          <w:i/>
        </w:rPr>
        <w:tab/>
      </w:r>
      <w:r w:rsidRPr="00E33E07">
        <w:rPr>
          <w:i/>
          <w:lang w:eastAsia="ja-JP"/>
        </w:rPr>
        <w:t xml:space="preserve">Early contention resolution shall be used i.e. </w:t>
      </w:r>
      <w:proofErr w:type="spellStart"/>
      <w:r w:rsidRPr="00E33E07">
        <w:rPr>
          <w:i/>
          <w:lang w:eastAsia="ja-JP"/>
        </w:rPr>
        <w:t>eNB</w:t>
      </w:r>
      <w:proofErr w:type="spellEnd"/>
      <w:r w:rsidRPr="00E33E07">
        <w:rPr>
          <w:i/>
          <w:lang w:eastAsia="ja-JP"/>
        </w:rPr>
        <w:t xml:space="preserve"> does not wait for NAS reply before resolving contention;</w:t>
      </w:r>
    </w:p>
    <w:p w14:paraId="60685B73" w14:textId="562605DD" w:rsidR="00E33E07" w:rsidRDefault="00E33E07" w:rsidP="00E33E07">
      <w:pPr>
        <w:rPr>
          <w:rFonts w:ascii="Times New Roman"/>
          <w:snapToGrid w:val="0"/>
          <w:sz w:val="22"/>
          <w:szCs w:val="22"/>
        </w:rPr>
      </w:pPr>
      <w:r>
        <w:rPr>
          <w:rFonts w:ascii="Times New Roman"/>
          <w:snapToGrid w:val="0"/>
          <w:sz w:val="22"/>
          <w:szCs w:val="22"/>
        </w:rPr>
        <w:t>Note that there is no exception to this rule regarding NB-</w:t>
      </w:r>
      <w:proofErr w:type="spellStart"/>
      <w:r>
        <w:rPr>
          <w:rFonts w:ascii="Times New Roman"/>
          <w:snapToGrid w:val="0"/>
          <w:sz w:val="22"/>
          <w:szCs w:val="22"/>
        </w:rPr>
        <w:t>IoT</w:t>
      </w:r>
      <w:proofErr w:type="spellEnd"/>
      <w:r>
        <w:rPr>
          <w:rFonts w:ascii="Times New Roman"/>
          <w:snapToGrid w:val="0"/>
          <w:sz w:val="22"/>
          <w:szCs w:val="22"/>
        </w:rPr>
        <w:t>, which implies that early contention resolution shall be supported for NB-</w:t>
      </w:r>
      <w:proofErr w:type="spellStart"/>
      <w:r>
        <w:rPr>
          <w:rFonts w:ascii="Times New Roman"/>
          <w:snapToGrid w:val="0"/>
          <w:sz w:val="22"/>
          <w:szCs w:val="22"/>
        </w:rPr>
        <w:t>IoT</w:t>
      </w:r>
      <w:proofErr w:type="spellEnd"/>
      <w:r>
        <w:rPr>
          <w:rFonts w:ascii="Times New Roman"/>
          <w:snapToGrid w:val="0"/>
          <w:sz w:val="22"/>
          <w:szCs w:val="22"/>
        </w:rPr>
        <w:t>.</w:t>
      </w:r>
    </w:p>
    <w:p w14:paraId="0BBBDEEF" w14:textId="292F73AE" w:rsidR="00E33E07" w:rsidRDefault="00E33E07" w:rsidP="00E33E07">
      <w:pPr>
        <w:rPr>
          <w:rFonts w:ascii="Times New Roman"/>
          <w:snapToGrid w:val="0"/>
          <w:sz w:val="22"/>
          <w:szCs w:val="22"/>
        </w:rPr>
      </w:pPr>
    </w:p>
    <w:p w14:paraId="1C7599D4" w14:textId="77777777" w:rsidR="00DC36CD" w:rsidRPr="00E33E07" w:rsidRDefault="00DC36CD" w:rsidP="00E33E07">
      <w:pPr>
        <w:rPr>
          <w:rFonts w:ascii="Times New Roman"/>
          <w:snapToGrid w:val="0"/>
          <w:sz w:val="22"/>
          <w:szCs w:val="22"/>
        </w:rPr>
      </w:pPr>
    </w:p>
    <w:p w14:paraId="51C6890F" w14:textId="1C34E71F" w:rsidR="00562400" w:rsidRDefault="00562400" w:rsidP="00562400">
      <w:pPr>
        <w:rPr>
          <w:rFonts w:ascii="Times New Roman"/>
          <w:snapToGrid w:val="0"/>
          <w:sz w:val="22"/>
          <w:szCs w:val="22"/>
        </w:rPr>
      </w:pPr>
    </w:p>
    <w:p w14:paraId="34934217" w14:textId="2022DD2C" w:rsidR="00562400" w:rsidRDefault="00562400" w:rsidP="00562400">
      <w:pPr>
        <w:rPr>
          <w:rFonts w:ascii="Times New Roman"/>
          <w:b/>
          <w:snapToGrid w:val="0"/>
          <w:sz w:val="22"/>
          <w:szCs w:val="22"/>
        </w:rPr>
      </w:pPr>
      <w:r w:rsidRPr="00562400">
        <w:rPr>
          <w:rFonts w:ascii="Times New Roman"/>
          <w:b/>
          <w:snapToGrid w:val="0"/>
          <w:sz w:val="22"/>
          <w:szCs w:val="22"/>
          <w:u w:val="single"/>
        </w:rPr>
        <w:lastRenderedPageBreak/>
        <w:t>Observation:</w:t>
      </w:r>
      <w:r>
        <w:rPr>
          <w:rFonts w:ascii="Times New Roman"/>
          <w:b/>
          <w:snapToGrid w:val="0"/>
          <w:sz w:val="22"/>
          <w:szCs w:val="22"/>
        </w:rPr>
        <w:t xml:space="preserve"> Early contention resolution allows for relaxed timing requirements to obtain the UE Radio Capabilities</w:t>
      </w:r>
      <w:r w:rsidR="00E33E07">
        <w:rPr>
          <w:rFonts w:ascii="Times New Roman"/>
          <w:b/>
          <w:snapToGrid w:val="0"/>
          <w:sz w:val="22"/>
          <w:szCs w:val="22"/>
        </w:rPr>
        <w:t xml:space="preserve"> from the MME</w:t>
      </w:r>
      <w:r>
        <w:rPr>
          <w:rFonts w:ascii="Times New Roman"/>
          <w:b/>
          <w:snapToGrid w:val="0"/>
          <w:sz w:val="22"/>
          <w:szCs w:val="22"/>
        </w:rPr>
        <w:t>.</w:t>
      </w:r>
    </w:p>
    <w:p w14:paraId="7E010A1F" w14:textId="3F6205F7" w:rsidR="00562400" w:rsidRDefault="00562400" w:rsidP="00562400">
      <w:pPr>
        <w:rPr>
          <w:rFonts w:ascii="Times New Roman"/>
          <w:b/>
          <w:snapToGrid w:val="0"/>
          <w:sz w:val="22"/>
          <w:szCs w:val="22"/>
        </w:rPr>
      </w:pPr>
    </w:p>
    <w:p w14:paraId="2E8B9B2A" w14:textId="62234568" w:rsidR="00562400" w:rsidRDefault="00562400" w:rsidP="00562400">
      <w:pPr>
        <w:rPr>
          <w:rFonts w:ascii="Times New Roman"/>
          <w:b/>
          <w:snapToGrid w:val="0"/>
          <w:sz w:val="22"/>
          <w:szCs w:val="22"/>
        </w:rPr>
      </w:pPr>
    </w:p>
    <w:p w14:paraId="7E2A82F1" w14:textId="2338592A" w:rsidR="00562400" w:rsidRDefault="00562400" w:rsidP="00562400">
      <w:pPr>
        <w:rPr>
          <w:rFonts w:ascii="Times New Roman"/>
          <w:b/>
          <w:snapToGrid w:val="0"/>
          <w:sz w:val="22"/>
          <w:szCs w:val="22"/>
        </w:rPr>
      </w:pPr>
    </w:p>
    <w:p w14:paraId="43C1535C" w14:textId="07FD9580" w:rsidR="00562400" w:rsidRDefault="00562400" w:rsidP="00562400">
      <w:pPr>
        <w:pStyle w:val="Heading3"/>
        <w:numPr>
          <w:ilvl w:val="1"/>
          <w:numId w:val="1"/>
        </w:numPr>
        <w:rPr>
          <w:snapToGrid w:val="0"/>
        </w:rPr>
      </w:pPr>
      <w:r>
        <w:rPr>
          <w:snapToGrid w:val="0"/>
        </w:rPr>
        <w:t>Specification impact of both options</w:t>
      </w:r>
    </w:p>
    <w:p w14:paraId="265D09A4" w14:textId="5C192D91" w:rsidR="00562400" w:rsidRDefault="00562400" w:rsidP="00562400">
      <w:pPr>
        <w:rPr>
          <w:rFonts w:ascii="Times New Roman"/>
          <w:snapToGrid w:val="0"/>
          <w:sz w:val="22"/>
          <w:szCs w:val="22"/>
        </w:rPr>
      </w:pPr>
      <w:r>
        <w:rPr>
          <w:rFonts w:ascii="Times New Roman"/>
          <w:snapToGrid w:val="0"/>
          <w:sz w:val="22"/>
          <w:szCs w:val="22"/>
        </w:rPr>
        <w:t>For the two behaviors depicted above, it is necessary to modify the specification regardless of the outcome:</w:t>
      </w:r>
    </w:p>
    <w:p w14:paraId="4CF6099D" w14:textId="79FCE03A" w:rsidR="00562400" w:rsidRDefault="00562400" w:rsidP="00562400">
      <w:pPr>
        <w:pStyle w:val="ListParagraph"/>
        <w:numPr>
          <w:ilvl w:val="0"/>
          <w:numId w:val="35"/>
        </w:numPr>
        <w:ind w:leftChars="0"/>
        <w:rPr>
          <w:rFonts w:ascii="Times New Roman"/>
          <w:snapToGrid w:val="0"/>
          <w:sz w:val="22"/>
          <w:szCs w:val="22"/>
        </w:rPr>
      </w:pPr>
      <w:r>
        <w:rPr>
          <w:rFonts w:ascii="Times New Roman"/>
          <w:snapToGrid w:val="0"/>
          <w:sz w:val="22"/>
          <w:szCs w:val="22"/>
        </w:rPr>
        <w:t xml:space="preserve">For </w:t>
      </w:r>
      <w:r>
        <w:rPr>
          <w:rFonts w:ascii="Times New Roman"/>
          <w:snapToGrid w:val="0"/>
          <w:sz w:val="22"/>
          <w:szCs w:val="22"/>
        </w:rPr>
        <w:t>“</w:t>
      </w:r>
      <w:r>
        <w:rPr>
          <w:rFonts w:ascii="Times New Roman"/>
          <w:snapToGrid w:val="0"/>
          <w:sz w:val="22"/>
          <w:szCs w:val="22"/>
        </w:rPr>
        <w:t>early contention resolution</w:t>
      </w:r>
      <w:r>
        <w:rPr>
          <w:rFonts w:ascii="Times New Roman"/>
          <w:snapToGrid w:val="0"/>
          <w:sz w:val="22"/>
          <w:szCs w:val="22"/>
        </w:rPr>
        <w:t>”</w:t>
      </w:r>
      <w:r>
        <w:rPr>
          <w:rFonts w:ascii="Times New Roman"/>
          <w:snapToGrid w:val="0"/>
          <w:sz w:val="22"/>
          <w:szCs w:val="22"/>
        </w:rPr>
        <w:t>, we need to include a sentence in the specification that clarifies that the UE keeps monitoring CSS until reception of RRC Connection setup.</w:t>
      </w:r>
    </w:p>
    <w:p w14:paraId="75331ADC" w14:textId="4B2824AE" w:rsidR="00562400" w:rsidRDefault="00562400" w:rsidP="00562400">
      <w:pPr>
        <w:pStyle w:val="ListParagraph"/>
        <w:numPr>
          <w:ilvl w:val="0"/>
          <w:numId w:val="35"/>
        </w:numPr>
        <w:ind w:leftChars="0"/>
        <w:rPr>
          <w:rFonts w:ascii="Times New Roman"/>
          <w:snapToGrid w:val="0"/>
          <w:sz w:val="22"/>
          <w:szCs w:val="22"/>
        </w:rPr>
      </w:pPr>
      <w:r>
        <w:rPr>
          <w:rFonts w:ascii="Times New Roman"/>
          <w:snapToGrid w:val="0"/>
          <w:sz w:val="22"/>
          <w:szCs w:val="22"/>
        </w:rPr>
        <w:t xml:space="preserve">For </w:t>
      </w:r>
      <w:r>
        <w:rPr>
          <w:rFonts w:ascii="Times New Roman"/>
          <w:snapToGrid w:val="0"/>
          <w:sz w:val="22"/>
          <w:szCs w:val="22"/>
        </w:rPr>
        <w:t>“</w:t>
      </w:r>
      <w:r>
        <w:rPr>
          <w:rFonts w:ascii="Times New Roman"/>
          <w:snapToGrid w:val="0"/>
          <w:sz w:val="22"/>
          <w:szCs w:val="22"/>
        </w:rPr>
        <w:t>no early contention resolution</w:t>
      </w:r>
      <w:r>
        <w:rPr>
          <w:rFonts w:ascii="Times New Roman"/>
          <w:snapToGrid w:val="0"/>
          <w:sz w:val="22"/>
          <w:szCs w:val="22"/>
        </w:rPr>
        <w:t>”</w:t>
      </w:r>
      <w:r>
        <w:rPr>
          <w:rFonts w:ascii="Times New Roman"/>
          <w:snapToGrid w:val="0"/>
          <w:sz w:val="22"/>
          <w:szCs w:val="22"/>
        </w:rPr>
        <w:t>, we need to clarify that the UEs without a C-RNTI are not expected to receive contention resolution without RRC Connection setup.</w:t>
      </w:r>
      <w:r w:rsidR="00E33E07">
        <w:rPr>
          <w:rFonts w:ascii="Times New Roman"/>
          <w:snapToGrid w:val="0"/>
          <w:sz w:val="22"/>
          <w:szCs w:val="22"/>
        </w:rPr>
        <w:t xml:space="preserve"> Also, we need to remove the option of </w:t>
      </w:r>
      <w:r w:rsidR="00E33E07">
        <w:rPr>
          <w:rFonts w:ascii="Times New Roman"/>
          <w:snapToGrid w:val="0"/>
          <w:sz w:val="22"/>
          <w:szCs w:val="22"/>
        </w:rPr>
        <w:t>“</w:t>
      </w:r>
      <w:r w:rsidR="00E33E07">
        <w:rPr>
          <w:rFonts w:ascii="Times New Roman"/>
          <w:snapToGrid w:val="0"/>
          <w:sz w:val="22"/>
          <w:szCs w:val="22"/>
        </w:rPr>
        <w:t>Early contention resolution</w:t>
      </w:r>
      <w:r w:rsidR="00E33E07">
        <w:rPr>
          <w:rFonts w:ascii="Times New Roman"/>
          <w:snapToGrid w:val="0"/>
          <w:sz w:val="22"/>
          <w:szCs w:val="22"/>
        </w:rPr>
        <w:t>”</w:t>
      </w:r>
      <w:r w:rsidR="00E33E07">
        <w:rPr>
          <w:rFonts w:ascii="Times New Roman"/>
          <w:snapToGrid w:val="0"/>
          <w:sz w:val="22"/>
          <w:szCs w:val="22"/>
        </w:rPr>
        <w:t xml:space="preserve"> in TS 36.300.</w:t>
      </w:r>
    </w:p>
    <w:p w14:paraId="13EB59FB" w14:textId="109C145D" w:rsidR="00E33E07" w:rsidRDefault="00E33E07" w:rsidP="00E33E07">
      <w:pPr>
        <w:rPr>
          <w:rFonts w:ascii="Times New Roman"/>
          <w:snapToGrid w:val="0"/>
          <w:sz w:val="22"/>
          <w:szCs w:val="22"/>
        </w:rPr>
      </w:pPr>
    </w:p>
    <w:p w14:paraId="4EC5E59D" w14:textId="53901E68" w:rsidR="00E33E07" w:rsidRPr="00E33E07" w:rsidRDefault="00E33E07" w:rsidP="00E33E07">
      <w:pPr>
        <w:rPr>
          <w:rFonts w:ascii="Times New Roman"/>
          <w:snapToGrid w:val="0"/>
          <w:sz w:val="22"/>
          <w:szCs w:val="22"/>
        </w:rPr>
      </w:pPr>
      <w:r>
        <w:rPr>
          <w:rFonts w:ascii="Times New Roman"/>
          <w:snapToGrid w:val="0"/>
          <w:sz w:val="22"/>
          <w:szCs w:val="22"/>
        </w:rPr>
        <w:t xml:space="preserve">Given that early contention resolution is supported to account for possible delays between </w:t>
      </w:r>
      <w:proofErr w:type="spellStart"/>
      <w:r>
        <w:rPr>
          <w:rFonts w:ascii="Times New Roman"/>
          <w:snapToGrid w:val="0"/>
          <w:sz w:val="22"/>
          <w:szCs w:val="22"/>
        </w:rPr>
        <w:t>eNB</w:t>
      </w:r>
      <w:proofErr w:type="spellEnd"/>
      <w:r>
        <w:rPr>
          <w:rFonts w:ascii="Times New Roman"/>
          <w:snapToGrid w:val="0"/>
          <w:sz w:val="22"/>
          <w:szCs w:val="22"/>
        </w:rPr>
        <w:t xml:space="preserve"> and MME, not supporting it may result in dropped connections due </w:t>
      </w:r>
      <w:r w:rsidR="00DC36CD">
        <w:rPr>
          <w:rFonts w:ascii="Times New Roman"/>
          <w:snapToGrid w:val="0"/>
          <w:sz w:val="22"/>
          <w:szCs w:val="22"/>
        </w:rPr>
        <w:t>to expiration</w:t>
      </w:r>
      <w:r>
        <w:rPr>
          <w:rFonts w:ascii="Times New Roman"/>
          <w:snapToGrid w:val="0"/>
          <w:sz w:val="22"/>
          <w:szCs w:val="22"/>
        </w:rPr>
        <w:t xml:space="preserve"> of timers. </w:t>
      </w:r>
    </w:p>
    <w:p w14:paraId="58E6488F" w14:textId="26F65513" w:rsidR="00562400" w:rsidRDefault="00562400" w:rsidP="00562400">
      <w:pPr>
        <w:rPr>
          <w:rFonts w:ascii="Times New Roman"/>
          <w:snapToGrid w:val="0"/>
          <w:sz w:val="22"/>
          <w:szCs w:val="22"/>
        </w:rPr>
      </w:pPr>
    </w:p>
    <w:p w14:paraId="532A8DF9" w14:textId="76769D6D" w:rsidR="00562400" w:rsidRPr="00562400" w:rsidRDefault="00562400" w:rsidP="00562400">
      <w:pPr>
        <w:rPr>
          <w:rFonts w:ascii="Times New Roman"/>
          <w:b/>
          <w:snapToGrid w:val="0"/>
          <w:sz w:val="22"/>
          <w:szCs w:val="22"/>
        </w:rPr>
      </w:pPr>
      <w:r w:rsidRPr="00562400">
        <w:rPr>
          <w:rFonts w:ascii="Times New Roman"/>
          <w:b/>
          <w:snapToGrid w:val="0"/>
          <w:sz w:val="22"/>
          <w:szCs w:val="22"/>
          <w:u w:val="single"/>
        </w:rPr>
        <w:t>Proposal:</w:t>
      </w:r>
      <w:r w:rsidRPr="00E33E07">
        <w:rPr>
          <w:rFonts w:ascii="Times New Roman"/>
          <w:snapToGrid w:val="0"/>
          <w:sz w:val="22"/>
          <w:szCs w:val="22"/>
        </w:rPr>
        <w:t xml:space="preserve"> </w:t>
      </w:r>
      <w:r w:rsidRPr="00562400">
        <w:rPr>
          <w:rFonts w:ascii="Times New Roman"/>
          <w:b/>
          <w:snapToGrid w:val="0"/>
          <w:sz w:val="22"/>
          <w:szCs w:val="22"/>
        </w:rPr>
        <w:t xml:space="preserve">RAN1 to clarify </w:t>
      </w:r>
      <w:r w:rsidR="00E33E07">
        <w:rPr>
          <w:rFonts w:ascii="Times New Roman"/>
          <w:b/>
          <w:snapToGrid w:val="0"/>
          <w:sz w:val="22"/>
          <w:szCs w:val="22"/>
        </w:rPr>
        <w:t>that UE is required to monitor Type2-CSS until reception of RRC Connection Setup</w:t>
      </w:r>
      <w:r w:rsidRPr="00562400">
        <w:rPr>
          <w:rFonts w:ascii="Times New Roman"/>
          <w:b/>
          <w:snapToGrid w:val="0"/>
          <w:sz w:val="22"/>
          <w:szCs w:val="22"/>
        </w:rPr>
        <w:t>.</w:t>
      </w:r>
    </w:p>
    <w:p w14:paraId="137D9094" w14:textId="77777777" w:rsidR="00562400" w:rsidRPr="00562400" w:rsidRDefault="00562400" w:rsidP="00562400">
      <w:pPr>
        <w:rPr>
          <w:rFonts w:ascii="Times New Roman"/>
          <w:b/>
          <w:snapToGrid w:val="0"/>
          <w:sz w:val="22"/>
          <w:szCs w:val="22"/>
        </w:rPr>
      </w:pPr>
    </w:p>
    <w:p w14:paraId="4572AA5F" w14:textId="4E1A2EFE" w:rsidR="00055462" w:rsidRPr="00562400" w:rsidRDefault="00055462" w:rsidP="00055462">
      <w:pPr>
        <w:pStyle w:val="Heading1"/>
        <w:rPr>
          <w:lang w:val="en-US"/>
        </w:rPr>
      </w:pPr>
      <w:r w:rsidRPr="00562400">
        <w:rPr>
          <w:lang w:val="en-US"/>
        </w:rPr>
        <w:t>Summary of proposals</w:t>
      </w:r>
    </w:p>
    <w:p w14:paraId="2AE8AB87" w14:textId="77777777" w:rsidR="00E33E07" w:rsidRDefault="00E33E07" w:rsidP="00E33E07">
      <w:pPr>
        <w:rPr>
          <w:rFonts w:ascii="Times New Roman"/>
          <w:b/>
          <w:snapToGrid w:val="0"/>
          <w:sz w:val="22"/>
          <w:szCs w:val="22"/>
        </w:rPr>
      </w:pPr>
      <w:r w:rsidRPr="00562400">
        <w:rPr>
          <w:rFonts w:ascii="Times New Roman"/>
          <w:b/>
          <w:snapToGrid w:val="0"/>
          <w:sz w:val="22"/>
          <w:szCs w:val="22"/>
          <w:u w:val="single"/>
        </w:rPr>
        <w:t>Observation:</w:t>
      </w:r>
      <w:r>
        <w:rPr>
          <w:rFonts w:ascii="Times New Roman"/>
          <w:b/>
          <w:snapToGrid w:val="0"/>
          <w:sz w:val="22"/>
          <w:szCs w:val="22"/>
        </w:rPr>
        <w:t xml:space="preserve"> Early contention resolution allows for relaxed timing requirements to obtain the UE Radio Capabilities from the MME.</w:t>
      </w:r>
    </w:p>
    <w:p w14:paraId="63E8B2D4" w14:textId="77777777" w:rsidR="00562400" w:rsidRDefault="00562400" w:rsidP="00562400">
      <w:pPr>
        <w:rPr>
          <w:rFonts w:ascii="Times New Roman"/>
          <w:b/>
          <w:snapToGrid w:val="0"/>
          <w:sz w:val="22"/>
          <w:szCs w:val="22"/>
        </w:rPr>
      </w:pPr>
    </w:p>
    <w:p w14:paraId="6627650B" w14:textId="77777777" w:rsidR="00E33E07" w:rsidRPr="00562400" w:rsidRDefault="00E33E07" w:rsidP="00E33E07">
      <w:pPr>
        <w:rPr>
          <w:rFonts w:ascii="Times New Roman"/>
          <w:b/>
          <w:snapToGrid w:val="0"/>
          <w:sz w:val="22"/>
          <w:szCs w:val="22"/>
        </w:rPr>
      </w:pPr>
      <w:r w:rsidRPr="00562400">
        <w:rPr>
          <w:rFonts w:ascii="Times New Roman"/>
          <w:b/>
          <w:snapToGrid w:val="0"/>
          <w:sz w:val="22"/>
          <w:szCs w:val="22"/>
          <w:u w:val="single"/>
        </w:rPr>
        <w:t>Proposal:</w:t>
      </w:r>
      <w:r w:rsidRPr="00E33E07">
        <w:rPr>
          <w:rFonts w:ascii="Times New Roman"/>
          <w:snapToGrid w:val="0"/>
          <w:sz w:val="22"/>
          <w:szCs w:val="22"/>
        </w:rPr>
        <w:t xml:space="preserve"> </w:t>
      </w:r>
      <w:r w:rsidRPr="00562400">
        <w:rPr>
          <w:rFonts w:ascii="Times New Roman"/>
          <w:b/>
          <w:snapToGrid w:val="0"/>
          <w:sz w:val="22"/>
          <w:szCs w:val="22"/>
        </w:rPr>
        <w:t xml:space="preserve">RAN1 to clarify </w:t>
      </w:r>
      <w:r>
        <w:rPr>
          <w:rFonts w:ascii="Times New Roman"/>
          <w:b/>
          <w:snapToGrid w:val="0"/>
          <w:sz w:val="22"/>
          <w:szCs w:val="22"/>
        </w:rPr>
        <w:t>that UE is required to monitor Type2-CSS until reception of RRC Connection Setup</w:t>
      </w:r>
      <w:r w:rsidRPr="00562400">
        <w:rPr>
          <w:rFonts w:ascii="Times New Roman"/>
          <w:b/>
          <w:snapToGrid w:val="0"/>
          <w:sz w:val="22"/>
          <w:szCs w:val="22"/>
        </w:rPr>
        <w:t>.</w:t>
      </w:r>
    </w:p>
    <w:p w14:paraId="648CDC4A" w14:textId="77777777" w:rsidR="00055462" w:rsidRPr="00562400" w:rsidRDefault="00055462" w:rsidP="00055462">
      <w:pPr>
        <w:rPr>
          <w:lang w:eastAsia="en-US"/>
        </w:rPr>
      </w:pPr>
    </w:p>
    <w:sectPr w:rsidR="00055462" w:rsidRPr="00562400"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031C37" w14:textId="77777777" w:rsidR="00B4737E" w:rsidRDefault="00B4737E">
      <w:r>
        <w:separator/>
      </w:r>
    </w:p>
  </w:endnote>
  <w:endnote w:type="continuationSeparator" w:id="0">
    <w:p w14:paraId="29C29884" w14:textId="77777777" w:rsidR="00B4737E" w:rsidRDefault="00B4737E">
      <w:r>
        <w:continuationSeparator/>
      </w:r>
    </w:p>
  </w:endnote>
  <w:endnote w:type="continuationNotice" w:id="1">
    <w:p w14:paraId="2849654D" w14:textId="77777777" w:rsidR="00B4737E" w:rsidRDefault="00B473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223FF" w:rsidRDefault="00522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328664C4"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50904">
      <w:rPr>
        <w:rStyle w:val="PageNumber"/>
        <w:noProof/>
      </w:rPr>
      <w:t>2</w:t>
    </w:r>
    <w:r>
      <w:rPr>
        <w:rStyle w:val="PageNumber"/>
      </w:rPr>
      <w:fldChar w:fldCharType="end"/>
    </w:r>
  </w:p>
  <w:p w14:paraId="5BFA00B5" w14:textId="77777777" w:rsidR="005223FF" w:rsidRDefault="00522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ECDFE4" w14:textId="77777777" w:rsidR="00B4737E" w:rsidRDefault="00B4737E">
      <w:r>
        <w:separator/>
      </w:r>
    </w:p>
  </w:footnote>
  <w:footnote w:type="continuationSeparator" w:id="0">
    <w:p w14:paraId="510EEA3F" w14:textId="77777777" w:rsidR="00B4737E" w:rsidRDefault="00B4737E">
      <w:r>
        <w:continuationSeparator/>
      </w:r>
    </w:p>
  </w:footnote>
  <w:footnote w:type="continuationNotice" w:id="1">
    <w:p w14:paraId="7CFD8107" w14:textId="77777777" w:rsidR="00B4737E" w:rsidRDefault="00B473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837E5"/>
    <w:multiLevelType w:val="hybridMultilevel"/>
    <w:tmpl w:val="1682F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CD13B48"/>
    <w:multiLevelType w:val="hybridMultilevel"/>
    <w:tmpl w:val="BD748304"/>
    <w:lvl w:ilvl="0" w:tplc="33C20D4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D0253AD"/>
    <w:multiLevelType w:val="hybridMultilevel"/>
    <w:tmpl w:val="A0B60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182C69"/>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F0552E"/>
    <w:multiLevelType w:val="multilevel"/>
    <w:tmpl w:val="8EAE2AA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013417"/>
    <w:multiLevelType w:val="hybridMultilevel"/>
    <w:tmpl w:val="C34A8994"/>
    <w:lvl w:ilvl="0" w:tplc="A2D66706">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AB110D"/>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3338B0"/>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2F0264"/>
    <w:multiLevelType w:val="hybridMultilevel"/>
    <w:tmpl w:val="D6B095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C15AD5"/>
    <w:multiLevelType w:val="hybridMultilevel"/>
    <w:tmpl w:val="525057D8"/>
    <w:lvl w:ilvl="0" w:tplc="67385B0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B8692D"/>
    <w:multiLevelType w:val="hybridMultilevel"/>
    <w:tmpl w:val="3CCE2F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7D6A61"/>
    <w:multiLevelType w:val="hybridMultilevel"/>
    <w:tmpl w:val="9CD0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516EA6"/>
    <w:multiLevelType w:val="hybridMultilevel"/>
    <w:tmpl w:val="2634F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47168E"/>
    <w:multiLevelType w:val="hybridMultilevel"/>
    <w:tmpl w:val="AE0ED8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8B3C02"/>
    <w:multiLevelType w:val="hybridMultilevel"/>
    <w:tmpl w:val="A14C6572"/>
    <w:lvl w:ilvl="0" w:tplc="66C89454">
      <w:start w:val="1"/>
      <w:numFmt w:val="bullet"/>
      <w:lvlText w:val="•"/>
      <w:lvlJc w:val="left"/>
      <w:pPr>
        <w:tabs>
          <w:tab w:val="num" w:pos="720"/>
        </w:tabs>
        <w:ind w:left="720" w:hanging="360"/>
      </w:pPr>
      <w:rPr>
        <w:rFonts w:ascii="Arial" w:hAnsi="Arial" w:hint="default"/>
      </w:rPr>
    </w:lvl>
    <w:lvl w:ilvl="1" w:tplc="CC6CC176">
      <w:start w:val="1"/>
      <w:numFmt w:val="bullet"/>
      <w:lvlText w:val="•"/>
      <w:lvlJc w:val="left"/>
      <w:pPr>
        <w:tabs>
          <w:tab w:val="num" w:pos="1440"/>
        </w:tabs>
        <w:ind w:left="1440" w:hanging="360"/>
      </w:pPr>
      <w:rPr>
        <w:rFonts w:ascii="Arial" w:hAnsi="Arial" w:hint="default"/>
      </w:rPr>
    </w:lvl>
    <w:lvl w:ilvl="2" w:tplc="78F6F59A" w:tentative="1">
      <w:start w:val="1"/>
      <w:numFmt w:val="bullet"/>
      <w:lvlText w:val="•"/>
      <w:lvlJc w:val="left"/>
      <w:pPr>
        <w:tabs>
          <w:tab w:val="num" w:pos="2160"/>
        </w:tabs>
        <w:ind w:left="2160" w:hanging="360"/>
      </w:pPr>
      <w:rPr>
        <w:rFonts w:ascii="Arial" w:hAnsi="Arial" w:hint="default"/>
      </w:rPr>
    </w:lvl>
    <w:lvl w:ilvl="3" w:tplc="DF869E94" w:tentative="1">
      <w:start w:val="1"/>
      <w:numFmt w:val="bullet"/>
      <w:lvlText w:val="•"/>
      <w:lvlJc w:val="left"/>
      <w:pPr>
        <w:tabs>
          <w:tab w:val="num" w:pos="2880"/>
        </w:tabs>
        <w:ind w:left="2880" w:hanging="360"/>
      </w:pPr>
      <w:rPr>
        <w:rFonts w:ascii="Arial" w:hAnsi="Arial" w:hint="default"/>
      </w:rPr>
    </w:lvl>
    <w:lvl w:ilvl="4" w:tplc="FA22A94A" w:tentative="1">
      <w:start w:val="1"/>
      <w:numFmt w:val="bullet"/>
      <w:lvlText w:val="•"/>
      <w:lvlJc w:val="left"/>
      <w:pPr>
        <w:tabs>
          <w:tab w:val="num" w:pos="3600"/>
        </w:tabs>
        <w:ind w:left="3600" w:hanging="360"/>
      </w:pPr>
      <w:rPr>
        <w:rFonts w:ascii="Arial" w:hAnsi="Arial" w:hint="default"/>
      </w:rPr>
    </w:lvl>
    <w:lvl w:ilvl="5" w:tplc="18720D26" w:tentative="1">
      <w:start w:val="1"/>
      <w:numFmt w:val="bullet"/>
      <w:lvlText w:val="•"/>
      <w:lvlJc w:val="left"/>
      <w:pPr>
        <w:tabs>
          <w:tab w:val="num" w:pos="4320"/>
        </w:tabs>
        <w:ind w:left="4320" w:hanging="360"/>
      </w:pPr>
      <w:rPr>
        <w:rFonts w:ascii="Arial" w:hAnsi="Arial" w:hint="default"/>
      </w:rPr>
    </w:lvl>
    <w:lvl w:ilvl="6" w:tplc="C4C651C6" w:tentative="1">
      <w:start w:val="1"/>
      <w:numFmt w:val="bullet"/>
      <w:lvlText w:val="•"/>
      <w:lvlJc w:val="left"/>
      <w:pPr>
        <w:tabs>
          <w:tab w:val="num" w:pos="5040"/>
        </w:tabs>
        <w:ind w:left="5040" w:hanging="360"/>
      </w:pPr>
      <w:rPr>
        <w:rFonts w:ascii="Arial" w:hAnsi="Arial" w:hint="default"/>
      </w:rPr>
    </w:lvl>
    <w:lvl w:ilvl="7" w:tplc="736C77BE" w:tentative="1">
      <w:start w:val="1"/>
      <w:numFmt w:val="bullet"/>
      <w:lvlText w:val="•"/>
      <w:lvlJc w:val="left"/>
      <w:pPr>
        <w:tabs>
          <w:tab w:val="num" w:pos="5760"/>
        </w:tabs>
        <w:ind w:left="5760" w:hanging="360"/>
      </w:pPr>
      <w:rPr>
        <w:rFonts w:ascii="Arial" w:hAnsi="Arial" w:hint="default"/>
      </w:rPr>
    </w:lvl>
    <w:lvl w:ilvl="8" w:tplc="4882174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79010C"/>
    <w:multiLevelType w:val="hybridMultilevel"/>
    <w:tmpl w:val="731A0BD0"/>
    <w:lvl w:ilvl="0" w:tplc="7A520C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E597D"/>
    <w:multiLevelType w:val="hybridMultilevel"/>
    <w:tmpl w:val="3BBCF00C"/>
    <w:lvl w:ilvl="0" w:tplc="78FCCC6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C2D36B0"/>
    <w:multiLevelType w:val="hybridMultilevel"/>
    <w:tmpl w:val="CDEA4858"/>
    <w:lvl w:ilvl="0" w:tplc="517EDDA0">
      <w:start w:val="2"/>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1" w15:restartNumberingAfterBreak="0">
    <w:nsid w:val="77D62F9F"/>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6"/>
  </w:num>
  <w:num w:numId="3">
    <w:abstractNumId w:val="23"/>
  </w:num>
  <w:num w:numId="4">
    <w:abstractNumId w:val="33"/>
  </w:num>
  <w:num w:numId="5">
    <w:abstractNumId w:val="34"/>
  </w:num>
  <w:num w:numId="6">
    <w:abstractNumId w:val="13"/>
  </w:num>
  <w:num w:numId="7">
    <w:abstractNumId w:val="18"/>
  </w:num>
  <w:num w:numId="8">
    <w:abstractNumId w:val="4"/>
  </w:num>
  <w:num w:numId="9">
    <w:abstractNumId w:val="28"/>
  </w:num>
  <w:num w:numId="10">
    <w:abstractNumId w:val="25"/>
  </w:num>
  <w:num w:numId="11">
    <w:abstractNumId w:val="22"/>
  </w:num>
  <w:num w:numId="12">
    <w:abstractNumId w:val="3"/>
  </w:num>
  <w:num w:numId="13">
    <w:abstractNumId w:val="29"/>
  </w:num>
  <w:num w:numId="14">
    <w:abstractNumId w:val="32"/>
  </w:num>
  <w:num w:numId="15">
    <w:abstractNumId w:val="24"/>
  </w:num>
  <w:num w:numId="16">
    <w:abstractNumId w:val="14"/>
  </w:num>
  <w:num w:numId="17">
    <w:abstractNumId w:val="10"/>
  </w:num>
  <w:num w:numId="18">
    <w:abstractNumId w:val="1"/>
  </w:num>
  <w:num w:numId="19">
    <w:abstractNumId w:val="26"/>
  </w:num>
  <w:num w:numId="20">
    <w:abstractNumId w:val="17"/>
  </w:num>
  <w:num w:numId="21">
    <w:abstractNumId w:val="7"/>
  </w:num>
  <w:num w:numId="22">
    <w:abstractNumId w:val="8"/>
  </w:num>
  <w:num w:numId="23">
    <w:abstractNumId w:val="31"/>
  </w:num>
  <w:num w:numId="24">
    <w:abstractNumId w:val="11"/>
  </w:num>
  <w:num w:numId="25">
    <w:abstractNumId w:val="12"/>
  </w:num>
  <w:num w:numId="26">
    <w:abstractNumId w:val="2"/>
  </w:num>
  <w:num w:numId="27">
    <w:abstractNumId w:val="27"/>
  </w:num>
  <w:num w:numId="28">
    <w:abstractNumId w:val="30"/>
  </w:num>
  <w:num w:numId="29">
    <w:abstractNumId w:val="16"/>
  </w:num>
  <w:num w:numId="30">
    <w:abstractNumId w:val="21"/>
  </w:num>
  <w:num w:numId="31">
    <w:abstractNumId w:val="5"/>
  </w:num>
  <w:num w:numId="32">
    <w:abstractNumId w:val="20"/>
  </w:num>
  <w:num w:numId="33">
    <w:abstractNumId w:val="0"/>
  </w:num>
  <w:num w:numId="34">
    <w:abstractNumId w:val="15"/>
  </w:num>
  <w:num w:numId="35">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8B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62"/>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46F"/>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63A"/>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5EB1"/>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1B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6A5"/>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987"/>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2D8"/>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39F"/>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3C1"/>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22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8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407"/>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869"/>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5FA"/>
    <w:rsid w:val="00424762"/>
    <w:rsid w:val="00424E75"/>
    <w:rsid w:val="004255FF"/>
    <w:rsid w:val="00425C19"/>
    <w:rsid w:val="00425F15"/>
    <w:rsid w:val="004260BE"/>
    <w:rsid w:val="004263B0"/>
    <w:rsid w:val="004265BA"/>
    <w:rsid w:val="004269F0"/>
    <w:rsid w:val="00426B00"/>
    <w:rsid w:val="00426C5F"/>
    <w:rsid w:val="004270FC"/>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4EA8"/>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73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3FF"/>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9A9"/>
    <w:rsid w:val="00557D1E"/>
    <w:rsid w:val="00557F45"/>
    <w:rsid w:val="0056066C"/>
    <w:rsid w:val="00560F32"/>
    <w:rsid w:val="0056128D"/>
    <w:rsid w:val="0056158E"/>
    <w:rsid w:val="00561633"/>
    <w:rsid w:val="00561A1F"/>
    <w:rsid w:val="00561BE0"/>
    <w:rsid w:val="00561C3C"/>
    <w:rsid w:val="00561CB4"/>
    <w:rsid w:val="0056207C"/>
    <w:rsid w:val="005621A7"/>
    <w:rsid w:val="00562400"/>
    <w:rsid w:val="00562A56"/>
    <w:rsid w:val="00562BCA"/>
    <w:rsid w:val="00562CB5"/>
    <w:rsid w:val="00562CBA"/>
    <w:rsid w:val="00563203"/>
    <w:rsid w:val="00563632"/>
    <w:rsid w:val="00563CC8"/>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2DE"/>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9EC"/>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2FAD"/>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21E"/>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1F"/>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5B2E"/>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395"/>
    <w:rsid w:val="0075672E"/>
    <w:rsid w:val="00756E25"/>
    <w:rsid w:val="00756ED7"/>
    <w:rsid w:val="00757657"/>
    <w:rsid w:val="00757C59"/>
    <w:rsid w:val="00757D56"/>
    <w:rsid w:val="00757FF1"/>
    <w:rsid w:val="0076031A"/>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1FE2"/>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992"/>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07"/>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11"/>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4A"/>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79"/>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B09"/>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5CBC"/>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0F"/>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6B6"/>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840"/>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17CD1"/>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37E"/>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48"/>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23D"/>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6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4D92"/>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2CD"/>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6CD"/>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AB3"/>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98A"/>
    <w:rsid w:val="00E32A7C"/>
    <w:rsid w:val="00E3309C"/>
    <w:rsid w:val="00E33E07"/>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904"/>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62E"/>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6BA"/>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081"/>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E6E"/>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342"/>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2D7"/>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516"/>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4EE7"/>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1FF"/>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58F"/>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rsid w:val="000C5EB1"/>
    <w:rPr>
      <w:szCs w:val="20"/>
    </w:rPr>
  </w:style>
  <w:style w:type="character" w:customStyle="1" w:styleId="EndnoteTextChar">
    <w:name w:val="Endnote Text Char"/>
    <w:basedOn w:val="DefaultParagraphFont"/>
    <w:link w:val="EndnoteText"/>
    <w:rsid w:val="000C5EB1"/>
    <w:rPr>
      <w:rFonts w:ascii="Batang"/>
      <w:kern w:val="2"/>
      <w:lang w:eastAsia="ko-KR"/>
    </w:rPr>
  </w:style>
  <w:style w:type="character" w:styleId="EndnoteReference">
    <w:name w:val="endnote reference"/>
    <w:basedOn w:val="DefaultParagraphFont"/>
    <w:rsid w:val="000C5EB1"/>
    <w:rPr>
      <w:vertAlign w:val="superscript"/>
    </w:rPr>
  </w:style>
  <w:style w:type="paragraph" w:customStyle="1" w:styleId="B1">
    <w:name w:val="B1"/>
    <w:basedOn w:val="List"/>
    <w:link w:val="B1Zchn"/>
    <w:rsid w:val="00E33E07"/>
    <w:pPr>
      <w:widowControl/>
      <w:wordWrap/>
      <w:overflowPunct w:val="0"/>
      <w:adjustRightInd w:val="0"/>
      <w:spacing w:after="180"/>
      <w:ind w:left="568" w:hanging="284"/>
      <w:contextualSpacing w:val="0"/>
      <w:jc w:val="left"/>
      <w:textAlignment w:val="baseline"/>
    </w:pPr>
    <w:rPr>
      <w:rFonts w:ascii="Times New Roman" w:eastAsia="Times New Roman"/>
      <w:kern w:val="0"/>
      <w:szCs w:val="20"/>
      <w:lang w:val="en-GB" w:eastAsia="ja-JP"/>
    </w:rPr>
  </w:style>
  <w:style w:type="character" w:customStyle="1" w:styleId="B1Zchn">
    <w:name w:val="B1 Zchn"/>
    <w:basedOn w:val="DefaultParagraphFont"/>
    <w:link w:val="B1"/>
    <w:rsid w:val="00E33E07"/>
    <w:rPr>
      <w:rFonts w:eastAsia="Times New Roman"/>
      <w:lang w:val="en-GB" w:eastAsia="ja-JP"/>
    </w:rPr>
  </w:style>
  <w:style w:type="paragraph" w:customStyle="1" w:styleId="B2">
    <w:name w:val="B2"/>
    <w:basedOn w:val="List2"/>
    <w:link w:val="B2Car"/>
    <w:rsid w:val="00E33E07"/>
    <w:pPr>
      <w:widowControl/>
      <w:wordWrap/>
      <w:overflowPunct w:val="0"/>
      <w:adjustRightInd w:val="0"/>
      <w:spacing w:after="180"/>
      <w:ind w:left="851" w:hanging="284"/>
      <w:contextualSpacing w:val="0"/>
      <w:jc w:val="left"/>
      <w:textAlignment w:val="baseline"/>
    </w:pPr>
    <w:rPr>
      <w:rFonts w:ascii="Times New Roman" w:eastAsia="Times New Roman"/>
      <w:kern w:val="0"/>
      <w:szCs w:val="20"/>
      <w:lang w:val="x-none" w:eastAsia="x-none"/>
    </w:rPr>
  </w:style>
  <w:style w:type="character" w:customStyle="1" w:styleId="B2Car">
    <w:name w:val="B2 Car"/>
    <w:link w:val="B2"/>
    <w:rsid w:val="00E33E07"/>
    <w:rPr>
      <w:rFonts w:eastAsia="Times New Roman"/>
      <w:lang w:val="x-none" w:eastAsia="x-none"/>
    </w:rPr>
  </w:style>
  <w:style w:type="paragraph" w:styleId="List">
    <w:name w:val="List"/>
    <w:basedOn w:val="Normal"/>
    <w:rsid w:val="00E33E07"/>
    <w:pPr>
      <w:ind w:left="360" w:hanging="360"/>
      <w:contextualSpacing/>
    </w:pPr>
  </w:style>
  <w:style w:type="paragraph" w:styleId="List2">
    <w:name w:val="List 2"/>
    <w:basedOn w:val="Normal"/>
    <w:rsid w:val="00E33E07"/>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8206661">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49893545">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288902462">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6393261">
      <w:bodyDiv w:val="1"/>
      <w:marLeft w:val="0"/>
      <w:marRight w:val="0"/>
      <w:marTop w:val="0"/>
      <w:marBottom w:val="0"/>
      <w:divBdr>
        <w:top w:val="none" w:sz="0" w:space="0" w:color="auto"/>
        <w:left w:val="none" w:sz="0" w:space="0" w:color="auto"/>
        <w:bottom w:val="none" w:sz="0" w:space="0" w:color="auto"/>
        <w:right w:val="none" w:sz="0" w:space="0" w:color="auto"/>
      </w:divBdr>
    </w:div>
    <w:div w:id="741440901">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686166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400852">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4454328">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505138">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4956796">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611073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4.xml><?xml version="1.0" encoding="utf-8"?>
<ds:datastoreItem xmlns:ds="http://schemas.openxmlformats.org/officeDocument/2006/customXml" ds:itemID="{FD6434E7-065A-41E7-BEC3-FDF83E4C53B7}">
  <ds:schemaRefs>
    <ds:schemaRef ds:uri="office.server.policy"/>
  </ds:schemaRefs>
</ds:datastoreItem>
</file>

<file path=customXml/itemProps5.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A3915AC-8601-48AD-A4AF-15C6F59D9F01}">
  <ds:schemaRefs>
    <ds:schemaRef ds:uri="http://schemas.openxmlformats.org/officeDocument/2006/bibliography"/>
  </ds:schemaRefs>
</ds:datastoreItem>
</file>

<file path=customXml/itemProps7.xml><?xml version="1.0" encoding="utf-8"?>
<ds:datastoreItem xmlns:ds="http://schemas.openxmlformats.org/officeDocument/2006/customXml" ds:itemID="{75C46028-4BE8-4CCC-87AF-9A4AFE0D2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575</Words>
  <Characters>3279</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Alberto Rico Alvarino</cp:lastModifiedBy>
  <cp:revision>9</cp:revision>
  <cp:lastPrinted>2010-08-13T21:54:00Z</cp:lastPrinted>
  <dcterms:created xsi:type="dcterms:W3CDTF">2017-08-07T21:57:00Z</dcterms:created>
  <dcterms:modified xsi:type="dcterms:W3CDTF">2017-08-12T00:00:00Z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0x0101008A98423170284BEEB635F43C3CF4E98B008B3A1EAE7955594BB5B58FB10F3F7793</vt:lpwstr>
  </property>
  <property fmtid="{D5CDD505-2E9C-101B-9397-08002B2CF9AE}" pid="4" name="_dlc_DocIdItemGuid">
    <vt:lpwstr>1da647db-d108-4980-875b-9c60554d8921</vt:lpwstr>
  </property>
</Properties>
</file>